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18E05F56"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w:t>
      </w:r>
      <w:r w:rsidR="00300461">
        <w:rPr>
          <w:rFonts w:ascii="Arial" w:hAnsi="Arial" w:cs="Arial"/>
          <w:b/>
          <w:noProof/>
          <w:sz w:val="24"/>
          <w:szCs w:val="24"/>
        </w:rPr>
        <w:t>4-e</w:t>
      </w:r>
      <w:r w:rsidR="008152A1">
        <w:rPr>
          <w:rFonts w:ascii="Arial" w:hAnsi="Arial" w:cs="Arial"/>
          <w:b/>
          <w:noProof/>
          <w:sz w:val="24"/>
          <w:szCs w:val="24"/>
        </w:rPr>
        <w:t>-Bis</w:t>
      </w:r>
      <w:r w:rsidRPr="004B7E17">
        <w:rPr>
          <w:rFonts w:ascii="Arial" w:hAnsi="Arial" w:cs="Arial"/>
          <w:b/>
          <w:noProof/>
          <w:sz w:val="24"/>
          <w:szCs w:val="24"/>
        </w:rPr>
        <w:tab/>
      </w:r>
      <w:r w:rsidR="00D23ED3" w:rsidRPr="00D23ED3">
        <w:rPr>
          <w:rFonts w:ascii="Arial" w:hAnsi="Arial" w:cs="Arial"/>
          <w:b/>
          <w:bCs/>
          <w:color w:val="808080"/>
          <w:sz w:val="26"/>
          <w:szCs w:val="26"/>
        </w:rPr>
        <w:t>R4-200</w:t>
      </w:r>
      <w:r w:rsidR="008E2BFC">
        <w:rPr>
          <w:rFonts w:ascii="Arial" w:hAnsi="Arial" w:cs="Arial"/>
          <w:b/>
          <w:bCs/>
          <w:color w:val="808080"/>
          <w:sz w:val="26"/>
          <w:szCs w:val="26"/>
        </w:rPr>
        <w:t>4786</w:t>
      </w:r>
    </w:p>
    <w:p w14:paraId="14FCB88D" w14:textId="7149651C" w:rsidR="006750D6" w:rsidRDefault="00711202" w:rsidP="006750D6">
      <w:pPr>
        <w:pStyle w:val="Footer"/>
        <w:jc w:val="both"/>
        <w:rPr>
          <w:rFonts w:eastAsia="SimSun"/>
          <w:i w:val="0"/>
          <w:noProof w:val="0"/>
          <w:sz w:val="24"/>
          <w:szCs w:val="24"/>
        </w:rPr>
      </w:pPr>
      <w:r w:rsidRPr="00711202">
        <w:rPr>
          <w:rFonts w:eastAsia="SimSun"/>
          <w:i w:val="0"/>
          <w:noProof w:val="0"/>
          <w:sz w:val="24"/>
          <w:szCs w:val="24"/>
        </w:rPr>
        <w:t xml:space="preserve">Online Meeting, </w:t>
      </w:r>
      <w:r w:rsidR="008152A1">
        <w:rPr>
          <w:rFonts w:eastAsia="SimSun"/>
          <w:i w:val="0"/>
          <w:noProof w:val="0"/>
          <w:sz w:val="24"/>
          <w:szCs w:val="24"/>
        </w:rPr>
        <w:t>April</w:t>
      </w:r>
      <w:r w:rsidRPr="00711202">
        <w:rPr>
          <w:rFonts w:eastAsia="SimSun"/>
          <w:i w:val="0"/>
          <w:noProof w:val="0"/>
          <w:sz w:val="24"/>
          <w:szCs w:val="24"/>
        </w:rPr>
        <w:t xml:space="preserve"> 2</w:t>
      </w:r>
      <w:r w:rsidR="008152A1">
        <w:rPr>
          <w:rFonts w:eastAsia="SimSun"/>
          <w:i w:val="0"/>
          <w:noProof w:val="0"/>
          <w:sz w:val="24"/>
          <w:szCs w:val="24"/>
        </w:rPr>
        <w:t>0</w:t>
      </w:r>
      <w:r w:rsidR="008152A1" w:rsidRPr="008152A1">
        <w:rPr>
          <w:rFonts w:eastAsia="SimSun"/>
          <w:i w:val="0"/>
          <w:noProof w:val="0"/>
          <w:sz w:val="24"/>
          <w:szCs w:val="24"/>
          <w:vertAlign w:val="superscript"/>
        </w:rPr>
        <w:t>th</w:t>
      </w:r>
      <w:r w:rsidR="008152A1">
        <w:rPr>
          <w:rFonts w:eastAsia="SimSun"/>
          <w:i w:val="0"/>
          <w:noProof w:val="0"/>
          <w:sz w:val="24"/>
          <w:szCs w:val="24"/>
        </w:rPr>
        <w:t xml:space="preserve"> </w:t>
      </w:r>
      <w:r w:rsidRPr="00711202">
        <w:rPr>
          <w:rFonts w:eastAsia="SimSun"/>
          <w:i w:val="0"/>
          <w:noProof w:val="0"/>
          <w:sz w:val="24"/>
          <w:szCs w:val="24"/>
        </w:rPr>
        <w:t xml:space="preserve"> –  </w:t>
      </w:r>
      <w:r w:rsidR="008152A1">
        <w:rPr>
          <w:rFonts w:eastAsia="SimSun"/>
          <w:i w:val="0"/>
          <w:noProof w:val="0"/>
          <w:sz w:val="24"/>
          <w:szCs w:val="24"/>
        </w:rPr>
        <w:t>30</w:t>
      </w:r>
      <w:r w:rsidRPr="008152A1">
        <w:rPr>
          <w:rFonts w:eastAsia="SimSun"/>
          <w:i w:val="0"/>
          <w:noProof w:val="0"/>
          <w:sz w:val="24"/>
          <w:szCs w:val="24"/>
          <w:vertAlign w:val="superscript"/>
        </w:rPr>
        <w:t>th</w:t>
      </w:r>
      <w:r w:rsidRPr="00711202">
        <w:rPr>
          <w:rFonts w:eastAsia="SimSun"/>
          <w:i w:val="0"/>
          <w:noProof w:val="0"/>
          <w:sz w:val="24"/>
          <w:szCs w:val="24"/>
        </w:rPr>
        <w:t xml:space="preserve">  , 2020</w:t>
      </w:r>
    </w:p>
    <w:p w14:paraId="2F40192B" w14:textId="77777777" w:rsidR="00300461" w:rsidRDefault="00300461" w:rsidP="006750D6">
      <w:pPr>
        <w:pStyle w:val="Footer"/>
        <w:jc w:val="both"/>
        <w:rPr>
          <w:noProof w:val="0"/>
        </w:rPr>
      </w:pPr>
    </w:p>
    <w:p w14:paraId="3E40B697" w14:textId="11BF3A2A"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152A1">
        <w:rPr>
          <w:rFonts w:ascii="Arial" w:hAnsi="Arial"/>
          <w:b/>
          <w:sz w:val="24"/>
        </w:rPr>
        <w:t>R</w:t>
      </w:r>
      <w:r w:rsidR="00300461">
        <w:rPr>
          <w:rFonts w:ascii="Arial" w:hAnsi="Arial"/>
          <w:b/>
          <w:sz w:val="24"/>
        </w:rPr>
        <w:t>emaining issues in</w:t>
      </w:r>
      <w:r w:rsidR="009841EA">
        <w:rPr>
          <w:rFonts w:ascii="Arial" w:hAnsi="Arial"/>
          <w:b/>
          <w:sz w:val="24"/>
        </w:rPr>
        <w:t xml:space="preserve"> SRS carrier switching </w:t>
      </w:r>
      <w:r w:rsidR="008D19FA">
        <w:rPr>
          <w:rFonts w:ascii="Arial" w:hAnsi="Arial"/>
          <w:b/>
          <w:sz w:val="24"/>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0346E34A" w14:textId="4EBABCE1" w:rsidR="007439D0"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8E2BFC">
        <w:rPr>
          <w:rFonts w:ascii="Arial" w:hAnsi="Arial"/>
          <w:b/>
          <w:sz w:val="24"/>
        </w:rPr>
        <w:t>6</w:t>
      </w:r>
      <w:bookmarkStart w:id="1" w:name="_GoBack"/>
      <w:bookmarkEnd w:id="1"/>
      <w:r w:rsidR="007439D0" w:rsidRPr="007439D0">
        <w:rPr>
          <w:rFonts w:ascii="Arial" w:hAnsi="Arial"/>
          <w:b/>
          <w:sz w:val="24"/>
        </w:rPr>
        <w:t>.15.1.1</w:t>
      </w:r>
      <w:r w:rsidR="007439D0" w:rsidRPr="007439D0">
        <w:rPr>
          <w:rFonts w:ascii="Arial" w:hAnsi="Arial"/>
          <w:b/>
          <w:sz w:val="24"/>
        </w:rPr>
        <w:tab/>
        <w:t xml:space="preserve">SRS carrier switching requirements </w:t>
      </w:r>
      <w:r w:rsidR="007439D0" w:rsidRPr="007439D0">
        <w:rPr>
          <w:rFonts w:ascii="Arial" w:hAnsi="Arial"/>
          <w:b/>
          <w:sz w:val="24"/>
        </w:rPr>
        <w:tab/>
        <w:t xml:space="preserve">[NR_RRM_Enh_Core] </w:t>
      </w:r>
    </w:p>
    <w:p w14:paraId="033ECDDE" w14:textId="41981ABF"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892FD0"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5B58AEBE" w14:textId="44060930" w:rsidR="00300461" w:rsidRDefault="008B398A" w:rsidP="00300461">
      <w:r>
        <w:t>In RAN4-</w:t>
      </w:r>
      <w:r w:rsidR="002E6DB7">
        <w:t>9</w:t>
      </w:r>
      <w:r w:rsidR="008152A1">
        <w:t>4-e</w:t>
      </w:r>
      <w:r w:rsidR="002E6DB7">
        <w:t xml:space="preserve">, </w:t>
      </w:r>
      <w:r w:rsidR="00667F66">
        <w:t xml:space="preserve">there </w:t>
      </w:r>
      <w:r w:rsidR="008825A3">
        <w:t xml:space="preserve">was a WF [1] agreed on the </w:t>
      </w:r>
      <w:r w:rsidR="00BE1F5D">
        <w:t xml:space="preserve">SRS carrier switching requirements. </w:t>
      </w:r>
      <w:r w:rsidR="00300461">
        <w:t>Following were the open items in the WF</w:t>
      </w:r>
    </w:p>
    <w:p w14:paraId="6EF29452" w14:textId="7398ADDE" w:rsidR="00300461" w:rsidRDefault="008152A1" w:rsidP="008152A1">
      <w:pPr>
        <w:pStyle w:val="ListParagraph"/>
        <w:numPr>
          <w:ilvl w:val="0"/>
          <w:numId w:val="10"/>
        </w:numPr>
      </w:pPr>
      <w:r>
        <w:t>Whether to define separate requirements for sync case</w:t>
      </w:r>
    </w:p>
    <w:p w14:paraId="121DDC8E" w14:textId="702CBC5C" w:rsidR="00300461" w:rsidRDefault="00300461" w:rsidP="00300461">
      <w:pPr>
        <w:pStyle w:val="ListParagraph"/>
        <w:numPr>
          <w:ilvl w:val="0"/>
          <w:numId w:val="10"/>
        </w:numPr>
      </w:pPr>
      <w:r>
        <w:t>I</w:t>
      </w:r>
      <w:r w:rsidR="008152A1">
        <w:t>nterplay between SRS switching and measurements across techs</w:t>
      </w:r>
    </w:p>
    <w:p w14:paraId="3CB9021B" w14:textId="0D0BF45B" w:rsidR="00300461" w:rsidRDefault="008152A1" w:rsidP="00300461">
      <w:pPr>
        <w:pStyle w:val="ListParagraph"/>
        <w:numPr>
          <w:ilvl w:val="0"/>
          <w:numId w:val="10"/>
        </w:numPr>
      </w:pPr>
      <w:r>
        <w:t xml:space="preserve">Interruptions allowability </w:t>
      </w:r>
      <w:r w:rsidR="00410BCD">
        <w:t xml:space="preserve">based on </w:t>
      </w:r>
      <w:r w:rsidR="00F9097F">
        <w:t>SRS switching in different frequency range</w:t>
      </w:r>
    </w:p>
    <w:p w14:paraId="4FFCDA21" w14:textId="4613480A" w:rsidR="008152A1" w:rsidRDefault="008152A1" w:rsidP="008152A1">
      <w:r>
        <w:t xml:space="preserve">In this contribution we provide our view of the above. </w:t>
      </w:r>
    </w:p>
    <w:p w14:paraId="4AA337D2" w14:textId="747558F7" w:rsidR="00300461" w:rsidRDefault="00300461" w:rsidP="00300461">
      <w:pPr>
        <w:pStyle w:val="ListParagraph"/>
        <w:ind w:left="1440"/>
      </w:pPr>
    </w:p>
    <w:p w14:paraId="5C57CA71" w14:textId="4237377E" w:rsidR="003B5F82" w:rsidRDefault="006750D6" w:rsidP="00300461">
      <w:pPr>
        <w:pStyle w:val="Heading1"/>
      </w:pPr>
      <w:r>
        <w:t xml:space="preserve">Discussion  </w:t>
      </w:r>
    </w:p>
    <w:p w14:paraId="7F4DF582" w14:textId="24F63583" w:rsidR="00BD21E4" w:rsidRDefault="008152A1" w:rsidP="00300461">
      <w:pPr>
        <w:pStyle w:val="Heading2"/>
      </w:pPr>
      <w:r>
        <w:t xml:space="preserve">Sync vs Async </w:t>
      </w:r>
      <w:r w:rsidR="00300461">
        <w:t xml:space="preserve"> </w:t>
      </w:r>
    </w:p>
    <w:p w14:paraId="146FB7F0" w14:textId="11D449D7" w:rsidR="008152A1" w:rsidRDefault="008152A1" w:rsidP="008152A1">
      <w:r>
        <w:t xml:space="preserve">RAN4 already had an agreement that there should be unified requirements for sync and async. Since for the sync case, we will in any case need to account for MRTD between the two cells, this would increase the interruption to the same level as in async case. </w:t>
      </w:r>
    </w:p>
    <w:p w14:paraId="6FF36AB1" w14:textId="3251F567" w:rsidR="008152A1" w:rsidRPr="008152A1" w:rsidRDefault="00DB21DB" w:rsidP="008152A1">
      <w:r w:rsidRPr="008152A1">
        <w:rPr>
          <w:b/>
          <w:bCs/>
        </w:rPr>
        <w:t>Proposal 1</w:t>
      </w:r>
      <w:r>
        <w:t>: Interruption requirements for sync scenario should be the same as async scenario.</w:t>
      </w:r>
    </w:p>
    <w:p w14:paraId="6B18A938" w14:textId="11EF40C9" w:rsidR="00294FC7" w:rsidRDefault="00294FC7" w:rsidP="00294FC7">
      <w:pPr>
        <w:pStyle w:val="Heading2"/>
      </w:pPr>
      <w:r>
        <w:t xml:space="preserve">Measurements and SRS Switching </w:t>
      </w:r>
    </w:p>
    <w:p w14:paraId="22950CBA" w14:textId="16472CB4" w:rsidR="00C55C42" w:rsidRDefault="00C55C42" w:rsidP="00C55C42"/>
    <w:p w14:paraId="353C8ACE" w14:textId="54997B3C" w:rsidR="006554C9" w:rsidRDefault="008152A1" w:rsidP="00C55C42">
      <w:r>
        <w:t xml:space="preserve">In dual connectivity scenarios, there are two options to account for how collisions between measurements and SRS switching are handled. One, the two NodeB’s communicate with each other and avoid the scenario where SRS switching overlaps with measurement occasions. Two, on the UE, the two SW stacks </w:t>
      </w:r>
      <w:r w:rsidR="00410BCD">
        <w:t xml:space="preserve">(one for each tech) </w:t>
      </w:r>
      <w:r>
        <w:t xml:space="preserve">communicate with </w:t>
      </w:r>
      <w:r w:rsidR="00410BCD">
        <w:t xml:space="preserve">each other and prioritize one over the other in case of a collision. Since the NodeB’s have more compute power available to them, the network can more easily co-ordinate to avoid this collision in the first place. Thus, from a UE perspective such a collision would be an error condition and the UE behavior left up to implementation. Note that this implantation would </w:t>
      </w:r>
      <w:r w:rsidR="00410BCD">
        <w:lastRenderedPageBreak/>
        <w:t xml:space="preserve">depend on whether measurements and SRS switching are periodic or aperiodic and which of them gets scheduled first. </w:t>
      </w:r>
    </w:p>
    <w:p w14:paraId="1F199F97" w14:textId="148F7333" w:rsidR="00410BCD" w:rsidRDefault="00410BCD" w:rsidP="00C55C42">
      <w:r w:rsidRPr="00410BCD">
        <w:rPr>
          <w:b/>
          <w:bCs/>
        </w:rPr>
        <w:t>Proposal 2</w:t>
      </w:r>
      <w:r>
        <w:t>: In dual connectivity, c</w:t>
      </w:r>
      <w:r w:rsidR="00F9097F">
        <w:t>ollision</w:t>
      </w:r>
      <w:r>
        <w:t xml:space="preserve"> between SRS switching on one technology and measurement occasion on another is an error condition from UE perspective and UE behavior is not defined for such scenarios. </w:t>
      </w:r>
    </w:p>
    <w:p w14:paraId="2D7A5772" w14:textId="10EA7C8F" w:rsidR="00410BCD" w:rsidRDefault="00410BCD" w:rsidP="00410BCD">
      <w:pPr>
        <w:pStyle w:val="Heading2"/>
      </w:pPr>
      <w:r>
        <w:t>Interruption Allowability</w:t>
      </w:r>
    </w:p>
    <w:p w14:paraId="3DF36828" w14:textId="3A967DC2" w:rsidR="00F9097F" w:rsidRDefault="00F9097F" w:rsidP="00C55C42">
      <w:r>
        <w:t xml:space="preserve">For SRS switching happening in different frequency range, like interruptions in other scenarios,  interruptions should be allowed based on UE capability. For UE that supports per-UE MG, interruptions should be allowed. For a UE that supports per-FR gaps, interruptions should not be allowed. </w:t>
      </w:r>
    </w:p>
    <w:p w14:paraId="34F1F9C5" w14:textId="77777777" w:rsidR="00F9097F" w:rsidRDefault="00F9097F" w:rsidP="00F9097F">
      <w:r w:rsidRPr="00F9097F">
        <w:rPr>
          <w:b/>
          <w:bCs/>
        </w:rPr>
        <w:t>Proposal 3</w:t>
      </w:r>
      <w:r>
        <w:t>: For SRS carrier switching in a different frequency range interruptions are allowed based on UE  capability</w:t>
      </w:r>
    </w:p>
    <w:p w14:paraId="45139555" w14:textId="77777777" w:rsidR="00F9097F" w:rsidRDefault="00F9097F" w:rsidP="00F9097F">
      <w:pPr>
        <w:pStyle w:val="ListParagraph"/>
        <w:numPr>
          <w:ilvl w:val="0"/>
          <w:numId w:val="10"/>
        </w:numPr>
      </w:pPr>
      <w:r w:rsidRPr="00F9097F">
        <w:t xml:space="preserve">Allowed if UE supports per-UE measurement gap only </w:t>
      </w:r>
    </w:p>
    <w:p w14:paraId="6C91E735" w14:textId="7CEC945E" w:rsidR="006554C9" w:rsidRPr="00C55C42" w:rsidRDefault="00F9097F" w:rsidP="00C55C42">
      <w:pPr>
        <w:pStyle w:val="ListParagraph"/>
        <w:numPr>
          <w:ilvl w:val="0"/>
          <w:numId w:val="10"/>
        </w:numPr>
      </w:pPr>
      <w:r>
        <w:t>N</w:t>
      </w:r>
      <w:r w:rsidRPr="00F9097F">
        <w:t>ot allowed if UE supports per-FR measurement gap</w:t>
      </w:r>
    </w:p>
    <w:p w14:paraId="7E90AC3E" w14:textId="77777777" w:rsidR="00294FC7" w:rsidRPr="004261D4" w:rsidRDefault="00294FC7" w:rsidP="00294FC7">
      <w:pPr>
        <w:rPr>
          <w:bCs/>
        </w:rPr>
      </w:pPr>
    </w:p>
    <w:p w14:paraId="4BDBD680" w14:textId="1AF69E97" w:rsidR="00432B37" w:rsidRDefault="00432B37" w:rsidP="00330D12">
      <w:pPr>
        <w:pStyle w:val="Heading1"/>
      </w:pPr>
      <w:r>
        <w:t xml:space="preserve">Conclusions </w:t>
      </w:r>
    </w:p>
    <w:p w14:paraId="22F1CF30" w14:textId="77F9FD17" w:rsidR="00F9097F" w:rsidRDefault="00F9097F" w:rsidP="00F9097F">
      <w:bookmarkStart w:id="2" w:name="_Hlk37353272"/>
      <w:r w:rsidRPr="008152A1">
        <w:rPr>
          <w:b/>
          <w:bCs/>
        </w:rPr>
        <w:t>Proposal 1</w:t>
      </w:r>
      <w:r>
        <w:t xml:space="preserve">: </w:t>
      </w:r>
      <w:r w:rsidR="00DB21DB">
        <w:t>Interruption requirements for sync scenario should be the same as async scenario.</w:t>
      </w:r>
      <w:r>
        <w:t xml:space="preserve"> </w:t>
      </w:r>
    </w:p>
    <w:p w14:paraId="7D773E5B" w14:textId="1704DD11" w:rsidR="00F9097F" w:rsidRDefault="00F9097F" w:rsidP="00F9097F">
      <w:r w:rsidRPr="00410BCD">
        <w:rPr>
          <w:b/>
          <w:bCs/>
        </w:rPr>
        <w:t>Proposal 2</w:t>
      </w:r>
      <w:r>
        <w:t xml:space="preserve">: In dual connectivity, collision between SRS switching on one technology and measurement occasion on another is an error condition from UE perspective and UE behavior is not defined for such scenarios. </w:t>
      </w:r>
    </w:p>
    <w:p w14:paraId="10FC3A3A" w14:textId="77777777" w:rsidR="00F9097F" w:rsidRDefault="00F9097F" w:rsidP="00F9097F">
      <w:r w:rsidRPr="00F9097F">
        <w:rPr>
          <w:b/>
          <w:bCs/>
        </w:rPr>
        <w:t>Proposal 3</w:t>
      </w:r>
      <w:r>
        <w:t>: For SRS carrier switching in a different frequency range interruptions are allowed based on UE  capability</w:t>
      </w:r>
    </w:p>
    <w:p w14:paraId="37527187" w14:textId="77777777" w:rsidR="00F9097F" w:rsidRDefault="00F9097F" w:rsidP="00F9097F">
      <w:pPr>
        <w:pStyle w:val="ListParagraph"/>
        <w:numPr>
          <w:ilvl w:val="0"/>
          <w:numId w:val="10"/>
        </w:numPr>
      </w:pPr>
      <w:r w:rsidRPr="00F9097F">
        <w:t xml:space="preserve">Allowed if UE supports per-UE measurement gap only </w:t>
      </w:r>
    </w:p>
    <w:p w14:paraId="1B113050" w14:textId="73C297B9" w:rsidR="00F9097F" w:rsidRPr="008152A1" w:rsidRDefault="00F9097F" w:rsidP="00F9097F">
      <w:pPr>
        <w:pStyle w:val="ListParagraph"/>
        <w:numPr>
          <w:ilvl w:val="0"/>
          <w:numId w:val="10"/>
        </w:numPr>
      </w:pPr>
      <w:r>
        <w:t>N</w:t>
      </w:r>
      <w:r w:rsidRPr="00F9097F">
        <w:t>ot allowed if UE supports per-FR measurement gap</w:t>
      </w:r>
    </w:p>
    <w:bookmarkEnd w:id="2"/>
    <w:p w14:paraId="7C155C6D" w14:textId="59B784FD" w:rsidR="00670B43" w:rsidRDefault="00B272C1" w:rsidP="00B272C1">
      <w:pPr>
        <w:pStyle w:val="Heading1"/>
      </w:pPr>
      <w:r>
        <w:t>References</w:t>
      </w:r>
    </w:p>
    <w:p w14:paraId="7075CD53" w14:textId="4425CD8E" w:rsidR="00B272C1" w:rsidRPr="00B272C1" w:rsidRDefault="00B272C1" w:rsidP="00B272C1">
      <w:r>
        <w:t xml:space="preserve">[1] </w:t>
      </w:r>
      <w:r w:rsidR="008152A1" w:rsidRPr="008152A1">
        <w:t>R4-2002246</w:t>
      </w:r>
      <w:r w:rsidR="008152A1">
        <w:t xml:space="preserve"> </w:t>
      </w:r>
      <w:r w:rsidR="00300461" w:rsidRPr="00300461">
        <w:t>Way forward on R16 NR RRM enhancements – SRS carrier switching</w:t>
      </w:r>
    </w:p>
    <w:sectPr w:rsidR="00B272C1" w:rsidRPr="00B272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08373" w14:textId="77777777" w:rsidR="00892FD0" w:rsidRDefault="00892FD0" w:rsidP="007D7454">
      <w:pPr>
        <w:spacing w:after="0" w:line="240" w:lineRule="auto"/>
      </w:pPr>
      <w:r>
        <w:separator/>
      </w:r>
    </w:p>
  </w:endnote>
  <w:endnote w:type="continuationSeparator" w:id="0">
    <w:p w14:paraId="6FF03933" w14:textId="77777777" w:rsidR="00892FD0" w:rsidRDefault="00892FD0"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E8924" w14:textId="77777777" w:rsidR="00892FD0" w:rsidRDefault="00892FD0" w:rsidP="007D7454">
      <w:pPr>
        <w:spacing w:after="0" w:line="240" w:lineRule="auto"/>
      </w:pPr>
      <w:r>
        <w:separator/>
      </w:r>
    </w:p>
  </w:footnote>
  <w:footnote w:type="continuationSeparator" w:id="0">
    <w:p w14:paraId="0BEFF575" w14:textId="77777777" w:rsidR="00892FD0" w:rsidRDefault="00892FD0"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A78FD"/>
    <w:multiLevelType w:val="hybridMultilevel"/>
    <w:tmpl w:val="B3321110"/>
    <w:lvl w:ilvl="0" w:tplc="CFD47D7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D504CC"/>
    <w:multiLevelType w:val="hybridMultilevel"/>
    <w:tmpl w:val="8F4A82FC"/>
    <w:lvl w:ilvl="0" w:tplc="CEB0B61A">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9430A8"/>
    <w:multiLevelType w:val="hybridMultilevel"/>
    <w:tmpl w:val="ACAAABCA"/>
    <w:lvl w:ilvl="0" w:tplc="F8800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542EFB"/>
    <w:multiLevelType w:val="hybridMultilevel"/>
    <w:tmpl w:val="BBD0AB40"/>
    <w:lvl w:ilvl="0" w:tplc="6B8E866E">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0"/>
  </w:num>
  <w:num w:numId="5">
    <w:abstractNumId w:val="5"/>
  </w:num>
  <w:num w:numId="6">
    <w:abstractNumId w:val="2"/>
  </w:num>
  <w:num w:numId="7">
    <w:abstractNumId w:val="1"/>
  </w:num>
  <w:num w:numId="8">
    <w:abstractNumId w:val="7"/>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2215D"/>
    <w:rsid w:val="00041059"/>
    <w:rsid w:val="00047C63"/>
    <w:rsid w:val="00050D7B"/>
    <w:rsid w:val="0006169C"/>
    <w:rsid w:val="000776E5"/>
    <w:rsid w:val="00081DCD"/>
    <w:rsid w:val="00082D50"/>
    <w:rsid w:val="00097740"/>
    <w:rsid w:val="000B7380"/>
    <w:rsid w:val="000E21C3"/>
    <w:rsid w:val="000F039A"/>
    <w:rsid w:val="00105578"/>
    <w:rsid w:val="00105D99"/>
    <w:rsid w:val="001106EF"/>
    <w:rsid w:val="001407C5"/>
    <w:rsid w:val="001711CB"/>
    <w:rsid w:val="0018076B"/>
    <w:rsid w:val="001A3B73"/>
    <w:rsid w:val="001A3EEE"/>
    <w:rsid w:val="001A782C"/>
    <w:rsid w:val="001B7175"/>
    <w:rsid w:val="001C5F5F"/>
    <w:rsid w:val="001F2D58"/>
    <w:rsid w:val="002058CB"/>
    <w:rsid w:val="00205C82"/>
    <w:rsid w:val="00216926"/>
    <w:rsid w:val="00233796"/>
    <w:rsid w:val="00234680"/>
    <w:rsid w:val="00237398"/>
    <w:rsid w:val="002432B0"/>
    <w:rsid w:val="00261E1A"/>
    <w:rsid w:val="002733AC"/>
    <w:rsid w:val="002771E4"/>
    <w:rsid w:val="00280853"/>
    <w:rsid w:val="0029290F"/>
    <w:rsid w:val="00294FC7"/>
    <w:rsid w:val="002C1542"/>
    <w:rsid w:val="002D11D3"/>
    <w:rsid w:val="002E22BC"/>
    <w:rsid w:val="002E4AA1"/>
    <w:rsid w:val="002E5195"/>
    <w:rsid w:val="002E6DB7"/>
    <w:rsid w:val="002F00BB"/>
    <w:rsid w:val="002F62B9"/>
    <w:rsid w:val="00300461"/>
    <w:rsid w:val="00300964"/>
    <w:rsid w:val="003014F5"/>
    <w:rsid w:val="00313AC1"/>
    <w:rsid w:val="00330D12"/>
    <w:rsid w:val="00352601"/>
    <w:rsid w:val="00355170"/>
    <w:rsid w:val="00360DF2"/>
    <w:rsid w:val="003669ED"/>
    <w:rsid w:val="00395F07"/>
    <w:rsid w:val="003A7F72"/>
    <w:rsid w:val="003B5F82"/>
    <w:rsid w:val="003D22BB"/>
    <w:rsid w:val="003E6A62"/>
    <w:rsid w:val="00403E25"/>
    <w:rsid w:val="00404F22"/>
    <w:rsid w:val="00410BCD"/>
    <w:rsid w:val="00410C47"/>
    <w:rsid w:val="004153D3"/>
    <w:rsid w:val="0041641B"/>
    <w:rsid w:val="004222C5"/>
    <w:rsid w:val="004230AD"/>
    <w:rsid w:val="004261D4"/>
    <w:rsid w:val="00432B37"/>
    <w:rsid w:val="00453FEE"/>
    <w:rsid w:val="0046660A"/>
    <w:rsid w:val="00475BBB"/>
    <w:rsid w:val="004918AC"/>
    <w:rsid w:val="004939A4"/>
    <w:rsid w:val="004B2231"/>
    <w:rsid w:val="004B39FE"/>
    <w:rsid w:val="004B6EC0"/>
    <w:rsid w:val="004C2D0D"/>
    <w:rsid w:val="004D0C87"/>
    <w:rsid w:val="004D4538"/>
    <w:rsid w:val="004D4B53"/>
    <w:rsid w:val="004E5225"/>
    <w:rsid w:val="004F017A"/>
    <w:rsid w:val="00505076"/>
    <w:rsid w:val="00543271"/>
    <w:rsid w:val="0055047B"/>
    <w:rsid w:val="0056796A"/>
    <w:rsid w:val="005A0C36"/>
    <w:rsid w:val="005C6FA7"/>
    <w:rsid w:val="005D7A43"/>
    <w:rsid w:val="005F2189"/>
    <w:rsid w:val="006001B2"/>
    <w:rsid w:val="00616983"/>
    <w:rsid w:val="0062171B"/>
    <w:rsid w:val="00637BD0"/>
    <w:rsid w:val="006554C9"/>
    <w:rsid w:val="00665D90"/>
    <w:rsid w:val="00665F19"/>
    <w:rsid w:val="00667F66"/>
    <w:rsid w:val="00670B43"/>
    <w:rsid w:val="00671630"/>
    <w:rsid w:val="006750D6"/>
    <w:rsid w:val="00690618"/>
    <w:rsid w:val="00696462"/>
    <w:rsid w:val="006A1572"/>
    <w:rsid w:val="006A2C60"/>
    <w:rsid w:val="006A5831"/>
    <w:rsid w:val="006D5D9B"/>
    <w:rsid w:val="006F22FB"/>
    <w:rsid w:val="006F5224"/>
    <w:rsid w:val="00711202"/>
    <w:rsid w:val="00720D21"/>
    <w:rsid w:val="007256F7"/>
    <w:rsid w:val="00736DB1"/>
    <w:rsid w:val="007439D0"/>
    <w:rsid w:val="0074659A"/>
    <w:rsid w:val="007507FC"/>
    <w:rsid w:val="00753D8D"/>
    <w:rsid w:val="0075422D"/>
    <w:rsid w:val="00754A14"/>
    <w:rsid w:val="00757848"/>
    <w:rsid w:val="00767CCD"/>
    <w:rsid w:val="00771695"/>
    <w:rsid w:val="00786C32"/>
    <w:rsid w:val="00793A92"/>
    <w:rsid w:val="00793DF7"/>
    <w:rsid w:val="007A658B"/>
    <w:rsid w:val="007D7454"/>
    <w:rsid w:val="007F00BA"/>
    <w:rsid w:val="007F2568"/>
    <w:rsid w:val="007F4DD4"/>
    <w:rsid w:val="00813799"/>
    <w:rsid w:val="008152A1"/>
    <w:rsid w:val="00846BDC"/>
    <w:rsid w:val="008611F4"/>
    <w:rsid w:val="00870DEC"/>
    <w:rsid w:val="008825A3"/>
    <w:rsid w:val="00892FD0"/>
    <w:rsid w:val="008933D5"/>
    <w:rsid w:val="008A44CB"/>
    <w:rsid w:val="008B398A"/>
    <w:rsid w:val="008D19FA"/>
    <w:rsid w:val="008E15E6"/>
    <w:rsid w:val="008E22CC"/>
    <w:rsid w:val="008E2BFC"/>
    <w:rsid w:val="008E313D"/>
    <w:rsid w:val="00907700"/>
    <w:rsid w:val="00927785"/>
    <w:rsid w:val="00936A55"/>
    <w:rsid w:val="00943B69"/>
    <w:rsid w:val="0094757F"/>
    <w:rsid w:val="00976EF9"/>
    <w:rsid w:val="009841EA"/>
    <w:rsid w:val="009A7DBA"/>
    <w:rsid w:val="009B48A0"/>
    <w:rsid w:val="009D2271"/>
    <w:rsid w:val="009D42F3"/>
    <w:rsid w:val="009E177B"/>
    <w:rsid w:val="009F2370"/>
    <w:rsid w:val="009F54CD"/>
    <w:rsid w:val="00A04B4A"/>
    <w:rsid w:val="00A1320C"/>
    <w:rsid w:val="00A260F0"/>
    <w:rsid w:val="00A31D8C"/>
    <w:rsid w:val="00A61604"/>
    <w:rsid w:val="00A63670"/>
    <w:rsid w:val="00A71475"/>
    <w:rsid w:val="00A729FC"/>
    <w:rsid w:val="00A73B1E"/>
    <w:rsid w:val="00AA7B40"/>
    <w:rsid w:val="00AA7CC7"/>
    <w:rsid w:val="00AC2AEC"/>
    <w:rsid w:val="00AD7CCD"/>
    <w:rsid w:val="00AE79C1"/>
    <w:rsid w:val="00AF61A8"/>
    <w:rsid w:val="00B00809"/>
    <w:rsid w:val="00B01AD7"/>
    <w:rsid w:val="00B06E8A"/>
    <w:rsid w:val="00B20A3C"/>
    <w:rsid w:val="00B272C1"/>
    <w:rsid w:val="00B7796B"/>
    <w:rsid w:val="00BA0ABC"/>
    <w:rsid w:val="00BA272C"/>
    <w:rsid w:val="00BB3BA5"/>
    <w:rsid w:val="00BC2B29"/>
    <w:rsid w:val="00BD21E4"/>
    <w:rsid w:val="00BD5FFC"/>
    <w:rsid w:val="00BE11EE"/>
    <w:rsid w:val="00BE1F5D"/>
    <w:rsid w:val="00BE4452"/>
    <w:rsid w:val="00BF73C3"/>
    <w:rsid w:val="00BF7DCA"/>
    <w:rsid w:val="00C07825"/>
    <w:rsid w:val="00C07FC5"/>
    <w:rsid w:val="00C13807"/>
    <w:rsid w:val="00C360AA"/>
    <w:rsid w:val="00C51D0A"/>
    <w:rsid w:val="00C55C42"/>
    <w:rsid w:val="00C66FA3"/>
    <w:rsid w:val="00C9189C"/>
    <w:rsid w:val="00C93DFF"/>
    <w:rsid w:val="00CA61B1"/>
    <w:rsid w:val="00CC1C4C"/>
    <w:rsid w:val="00CC383F"/>
    <w:rsid w:val="00CC3F86"/>
    <w:rsid w:val="00D05215"/>
    <w:rsid w:val="00D141CC"/>
    <w:rsid w:val="00D17969"/>
    <w:rsid w:val="00D23ED3"/>
    <w:rsid w:val="00D34D7A"/>
    <w:rsid w:val="00D438C1"/>
    <w:rsid w:val="00D859F1"/>
    <w:rsid w:val="00D85AAD"/>
    <w:rsid w:val="00D93F66"/>
    <w:rsid w:val="00DA5236"/>
    <w:rsid w:val="00DB21DB"/>
    <w:rsid w:val="00DD323B"/>
    <w:rsid w:val="00DE10CA"/>
    <w:rsid w:val="00DE5149"/>
    <w:rsid w:val="00E15B21"/>
    <w:rsid w:val="00E16498"/>
    <w:rsid w:val="00E251ED"/>
    <w:rsid w:val="00E27341"/>
    <w:rsid w:val="00E80553"/>
    <w:rsid w:val="00E806F2"/>
    <w:rsid w:val="00E833B6"/>
    <w:rsid w:val="00EA70A3"/>
    <w:rsid w:val="00EB6F4F"/>
    <w:rsid w:val="00EB76EB"/>
    <w:rsid w:val="00EC3673"/>
    <w:rsid w:val="00EC65B6"/>
    <w:rsid w:val="00ED2293"/>
    <w:rsid w:val="00ED46BC"/>
    <w:rsid w:val="00EF7F9C"/>
    <w:rsid w:val="00F429EF"/>
    <w:rsid w:val="00F5668D"/>
    <w:rsid w:val="00F61425"/>
    <w:rsid w:val="00F74CA6"/>
    <w:rsid w:val="00F74D8B"/>
    <w:rsid w:val="00F868D2"/>
    <w:rsid w:val="00F9097F"/>
    <w:rsid w:val="00FB0B41"/>
    <w:rsid w:val="00FD11A8"/>
    <w:rsid w:val="00FD2741"/>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94FC7"/>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 w:type="table" w:styleId="TableGrid">
    <w:name w:val="Table Grid"/>
    <w:basedOn w:val="TableNormal"/>
    <w:uiPriority w:val="39"/>
    <w:rsid w:val="00BE4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4DD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7021">
      <w:bodyDiv w:val="1"/>
      <w:marLeft w:val="0"/>
      <w:marRight w:val="0"/>
      <w:marTop w:val="0"/>
      <w:marBottom w:val="0"/>
      <w:divBdr>
        <w:top w:val="none" w:sz="0" w:space="0" w:color="auto"/>
        <w:left w:val="none" w:sz="0" w:space="0" w:color="auto"/>
        <w:bottom w:val="none" w:sz="0" w:space="0" w:color="auto"/>
        <w:right w:val="none" w:sz="0" w:space="0" w:color="auto"/>
      </w:divBdr>
    </w:div>
    <w:div w:id="307249541">
      <w:bodyDiv w:val="1"/>
      <w:marLeft w:val="0"/>
      <w:marRight w:val="0"/>
      <w:marTop w:val="0"/>
      <w:marBottom w:val="0"/>
      <w:divBdr>
        <w:top w:val="none" w:sz="0" w:space="0" w:color="auto"/>
        <w:left w:val="none" w:sz="0" w:space="0" w:color="auto"/>
        <w:bottom w:val="none" w:sz="0" w:space="0" w:color="auto"/>
        <w:right w:val="none" w:sz="0" w:space="0" w:color="auto"/>
      </w:divBdr>
      <w:divsChild>
        <w:div w:id="710497564">
          <w:marLeft w:val="547"/>
          <w:marRight w:val="0"/>
          <w:marTop w:val="134"/>
          <w:marBottom w:val="0"/>
          <w:divBdr>
            <w:top w:val="none" w:sz="0" w:space="0" w:color="auto"/>
            <w:left w:val="none" w:sz="0" w:space="0" w:color="auto"/>
            <w:bottom w:val="none" w:sz="0" w:space="0" w:color="auto"/>
            <w:right w:val="none" w:sz="0" w:space="0" w:color="auto"/>
          </w:divBdr>
        </w:div>
        <w:div w:id="565188658">
          <w:marLeft w:val="1166"/>
          <w:marRight w:val="0"/>
          <w:marTop w:val="86"/>
          <w:marBottom w:val="0"/>
          <w:divBdr>
            <w:top w:val="none" w:sz="0" w:space="0" w:color="auto"/>
            <w:left w:val="none" w:sz="0" w:space="0" w:color="auto"/>
            <w:bottom w:val="none" w:sz="0" w:space="0" w:color="auto"/>
            <w:right w:val="none" w:sz="0" w:space="0" w:color="auto"/>
          </w:divBdr>
        </w:div>
        <w:div w:id="169225800">
          <w:marLeft w:val="1166"/>
          <w:marRight w:val="0"/>
          <w:marTop w:val="86"/>
          <w:marBottom w:val="0"/>
          <w:divBdr>
            <w:top w:val="none" w:sz="0" w:space="0" w:color="auto"/>
            <w:left w:val="none" w:sz="0" w:space="0" w:color="auto"/>
            <w:bottom w:val="none" w:sz="0" w:space="0" w:color="auto"/>
            <w:right w:val="none" w:sz="0" w:space="0" w:color="auto"/>
          </w:divBdr>
        </w:div>
        <w:div w:id="510025539">
          <w:marLeft w:val="1166"/>
          <w:marRight w:val="0"/>
          <w:marTop w:val="86"/>
          <w:marBottom w:val="0"/>
          <w:divBdr>
            <w:top w:val="none" w:sz="0" w:space="0" w:color="auto"/>
            <w:left w:val="none" w:sz="0" w:space="0" w:color="auto"/>
            <w:bottom w:val="none" w:sz="0" w:space="0" w:color="auto"/>
            <w:right w:val="none" w:sz="0" w:space="0" w:color="auto"/>
          </w:divBdr>
        </w:div>
        <w:div w:id="1081753151">
          <w:marLeft w:val="1166"/>
          <w:marRight w:val="0"/>
          <w:marTop w:val="86"/>
          <w:marBottom w:val="0"/>
          <w:divBdr>
            <w:top w:val="none" w:sz="0" w:space="0" w:color="auto"/>
            <w:left w:val="none" w:sz="0" w:space="0" w:color="auto"/>
            <w:bottom w:val="none" w:sz="0" w:space="0" w:color="auto"/>
            <w:right w:val="none" w:sz="0" w:space="0" w:color="auto"/>
          </w:divBdr>
        </w:div>
        <w:div w:id="216010648">
          <w:marLeft w:val="1166"/>
          <w:marRight w:val="0"/>
          <w:marTop w:val="86"/>
          <w:marBottom w:val="0"/>
          <w:divBdr>
            <w:top w:val="none" w:sz="0" w:space="0" w:color="auto"/>
            <w:left w:val="none" w:sz="0" w:space="0" w:color="auto"/>
            <w:bottom w:val="none" w:sz="0" w:space="0" w:color="auto"/>
            <w:right w:val="none" w:sz="0" w:space="0" w:color="auto"/>
          </w:divBdr>
        </w:div>
        <w:div w:id="325591633">
          <w:marLeft w:val="1800"/>
          <w:marRight w:val="0"/>
          <w:marTop w:val="67"/>
          <w:marBottom w:val="0"/>
          <w:divBdr>
            <w:top w:val="none" w:sz="0" w:space="0" w:color="auto"/>
            <w:left w:val="none" w:sz="0" w:space="0" w:color="auto"/>
            <w:bottom w:val="none" w:sz="0" w:space="0" w:color="auto"/>
            <w:right w:val="none" w:sz="0" w:space="0" w:color="auto"/>
          </w:divBdr>
        </w:div>
      </w:divsChild>
    </w:div>
    <w:div w:id="801575062">
      <w:bodyDiv w:val="1"/>
      <w:marLeft w:val="0"/>
      <w:marRight w:val="0"/>
      <w:marTop w:val="0"/>
      <w:marBottom w:val="0"/>
      <w:divBdr>
        <w:top w:val="none" w:sz="0" w:space="0" w:color="auto"/>
        <w:left w:val="none" w:sz="0" w:space="0" w:color="auto"/>
        <w:bottom w:val="none" w:sz="0" w:space="0" w:color="auto"/>
        <w:right w:val="none" w:sz="0" w:space="0" w:color="auto"/>
      </w:divBdr>
    </w:div>
    <w:div w:id="868491086">
      <w:bodyDiv w:val="1"/>
      <w:marLeft w:val="0"/>
      <w:marRight w:val="0"/>
      <w:marTop w:val="0"/>
      <w:marBottom w:val="0"/>
      <w:divBdr>
        <w:top w:val="none" w:sz="0" w:space="0" w:color="auto"/>
        <w:left w:val="none" w:sz="0" w:space="0" w:color="auto"/>
        <w:bottom w:val="none" w:sz="0" w:space="0" w:color="auto"/>
        <w:right w:val="none" w:sz="0" w:space="0" w:color="auto"/>
      </w:divBdr>
    </w:div>
    <w:div w:id="899052548">
      <w:bodyDiv w:val="1"/>
      <w:marLeft w:val="0"/>
      <w:marRight w:val="0"/>
      <w:marTop w:val="0"/>
      <w:marBottom w:val="0"/>
      <w:divBdr>
        <w:top w:val="none" w:sz="0" w:space="0" w:color="auto"/>
        <w:left w:val="none" w:sz="0" w:space="0" w:color="auto"/>
        <w:bottom w:val="none" w:sz="0" w:space="0" w:color="auto"/>
        <w:right w:val="none" w:sz="0" w:space="0" w:color="auto"/>
      </w:divBdr>
    </w:div>
    <w:div w:id="925185136">
      <w:bodyDiv w:val="1"/>
      <w:marLeft w:val="0"/>
      <w:marRight w:val="0"/>
      <w:marTop w:val="0"/>
      <w:marBottom w:val="0"/>
      <w:divBdr>
        <w:top w:val="none" w:sz="0" w:space="0" w:color="auto"/>
        <w:left w:val="none" w:sz="0" w:space="0" w:color="auto"/>
        <w:bottom w:val="none" w:sz="0" w:space="0" w:color="auto"/>
        <w:right w:val="none" w:sz="0" w:space="0" w:color="auto"/>
      </w:divBdr>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 w:id="182624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3.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123</cp:revision>
  <dcterms:created xsi:type="dcterms:W3CDTF">2019-11-07T18:34:00Z</dcterms:created>
  <dcterms:modified xsi:type="dcterms:W3CDTF">2020-04-10T20:57:00Z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